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4F" w:rsidRDefault="00A71B4F" w:rsidP="00A71B4F">
      <w:pPr>
        <w:shd w:val="clear" w:color="auto" w:fill="F7F7F7"/>
        <w:spacing w:before="300" w:after="150" w:line="240" w:lineRule="auto"/>
        <w:outlineLvl w:val="0"/>
        <w:rPr>
          <w:rFonts w:ascii="inherit" w:eastAsia="Times New Roman" w:hAnsi="inherit" w:cs="Helvetica"/>
          <w:b/>
          <w:bCs/>
          <w:caps/>
          <w:color w:val="252122"/>
          <w:kern w:val="36"/>
          <w:sz w:val="52"/>
          <w:szCs w:val="52"/>
        </w:rPr>
      </w:pPr>
      <w:r>
        <w:rPr>
          <w:rFonts w:ascii="Roboto" w:hAnsi="Roboto" w:cs="Helvetica"/>
          <w:noProof/>
          <w:color w:val="094981"/>
          <w:sz w:val="26"/>
          <w:szCs w:val="26"/>
        </w:rPr>
        <w:drawing>
          <wp:inline distT="0" distB="0" distL="0" distR="0" wp14:anchorId="004B6E73" wp14:editId="21135B4C">
            <wp:extent cx="3152775" cy="1333500"/>
            <wp:effectExtent l="0" t="0" r="9525" b="0"/>
            <wp:docPr id="5" name="Picture 5" descr="https://www.aanpcert.org/resource/img/aanpcb-logo-4x.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anpcert.org/resource/img/aanpcb-logo-4x.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333500"/>
                    </a:xfrm>
                    <a:prstGeom prst="rect">
                      <a:avLst/>
                    </a:prstGeom>
                    <a:noFill/>
                    <a:ln>
                      <a:noFill/>
                    </a:ln>
                  </pic:spPr>
                </pic:pic>
              </a:graphicData>
            </a:graphic>
          </wp:inline>
        </w:drawing>
      </w:r>
    </w:p>
    <w:p w:rsidR="00A71B4F" w:rsidRPr="00A71B4F" w:rsidRDefault="00A71B4F" w:rsidP="00A71B4F">
      <w:pPr>
        <w:shd w:val="clear" w:color="auto" w:fill="F7F7F7"/>
        <w:spacing w:before="300" w:after="150" w:line="240" w:lineRule="auto"/>
        <w:outlineLvl w:val="0"/>
        <w:rPr>
          <w:rFonts w:ascii="inherit" w:eastAsia="Times New Roman" w:hAnsi="inherit" w:cs="Helvetica"/>
          <w:b/>
          <w:bCs/>
          <w:caps/>
          <w:color w:val="252122"/>
          <w:kern w:val="36"/>
          <w:sz w:val="52"/>
          <w:szCs w:val="52"/>
        </w:rPr>
      </w:pPr>
      <w:bookmarkStart w:id="0" w:name="_GoBack"/>
      <w:bookmarkEnd w:id="0"/>
      <w:r w:rsidRPr="00A71B4F">
        <w:rPr>
          <w:rFonts w:ascii="inherit" w:eastAsia="Times New Roman" w:hAnsi="inherit" w:cs="Helvetica"/>
          <w:b/>
          <w:bCs/>
          <w:caps/>
          <w:color w:val="252122"/>
          <w:kern w:val="36"/>
          <w:sz w:val="52"/>
          <w:szCs w:val="52"/>
        </w:rPr>
        <w:t>Family Nurse Practitioner (FNP)</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The FNP certification examination is an entry-level competency-based examination that tests clinical knowledge in family/individual across the life span (prenatal, pediatric, adolescent, adult, elderly, and frail elderly primary care).</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How many questions are on the examination?</w:t>
      </w:r>
    </w:p>
    <w:p w:rsidR="00A71B4F" w:rsidRPr="00A71B4F" w:rsidRDefault="00A71B4F" w:rsidP="00A71B4F">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 xml:space="preserve">There are 150 questions on each examination. A candidate's score </w:t>
      </w:r>
      <w:proofErr w:type="gramStart"/>
      <w:r w:rsidRPr="00A71B4F">
        <w:rPr>
          <w:rFonts w:ascii="Roboto" w:eastAsia="Times New Roman" w:hAnsi="Roboto" w:cs="Helvetica"/>
          <w:color w:val="000000"/>
          <w:sz w:val="26"/>
          <w:szCs w:val="26"/>
        </w:rPr>
        <w:t>is based</w:t>
      </w:r>
      <w:proofErr w:type="gramEnd"/>
      <w:r w:rsidRPr="00A71B4F">
        <w:rPr>
          <w:rFonts w:ascii="Roboto" w:eastAsia="Times New Roman" w:hAnsi="Roboto" w:cs="Helvetica"/>
          <w:color w:val="000000"/>
          <w:sz w:val="26"/>
          <w:szCs w:val="26"/>
        </w:rPr>
        <w:t xml:space="preserve"> solely on the 135 scored questions. Of the 150 questions, 15 are pretest questions.</w:t>
      </w:r>
    </w:p>
    <w:p w:rsidR="00A71B4F" w:rsidRPr="00A71B4F" w:rsidRDefault="00A71B4F" w:rsidP="00A71B4F">
      <w:pPr>
        <w:numPr>
          <w:ilvl w:val="0"/>
          <w:numId w:val="1"/>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 xml:space="preserve">Pretest questions are questions developed during the process of </w:t>
      </w:r>
      <w:r w:rsidRPr="00A71B4F">
        <w:rPr>
          <w:rFonts w:ascii="Roboto" w:eastAsia="Times New Roman" w:hAnsi="Roboto" w:cs="Helvetica"/>
          <w:i/>
          <w:iCs/>
          <w:color w:val="000000"/>
          <w:sz w:val="26"/>
          <w:szCs w:val="26"/>
        </w:rPr>
        <w:t>Item Writing</w:t>
      </w:r>
      <w:r w:rsidRPr="00A71B4F">
        <w:rPr>
          <w:rFonts w:ascii="Roboto" w:eastAsia="Times New Roman" w:hAnsi="Roboto" w:cs="Helvetica"/>
          <w:color w:val="000000"/>
          <w:sz w:val="26"/>
          <w:szCs w:val="26"/>
        </w:rPr>
        <w:t xml:space="preserve">. Pretest questions </w:t>
      </w:r>
      <w:proofErr w:type="gramStart"/>
      <w:r w:rsidRPr="00A71B4F">
        <w:rPr>
          <w:rFonts w:ascii="Roboto" w:eastAsia="Times New Roman" w:hAnsi="Roboto" w:cs="Helvetica"/>
          <w:color w:val="000000"/>
          <w:sz w:val="26"/>
          <w:szCs w:val="26"/>
        </w:rPr>
        <w:t>are used</w:t>
      </w:r>
      <w:proofErr w:type="gramEnd"/>
      <w:r w:rsidRPr="00A71B4F">
        <w:rPr>
          <w:rFonts w:ascii="Roboto" w:eastAsia="Times New Roman" w:hAnsi="Roboto" w:cs="Helvetica"/>
          <w:color w:val="000000"/>
          <w:sz w:val="26"/>
          <w:szCs w:val="26"/>
        </w:rPr>
        <w:t xml:space="preserve"> on the examinations to obtain statistical information for determining how well they perform prior to vetting them for use on the scored portion of the examination. The pretest questions </w:t>
      </w:r>
      <w:proofErr w:type="gramStart"/>
      <w:r w:rsidRPr="00A71B4F">
        <w:rPr>
          <w:rFonts w:ascii="Roboto" w:eastAsia="Times New Roman" w:hAnsi="Roboto" w:cs="Helvetica"/>
          <w:color w:val="000000"/>
          <w:sz w:val="26"/>
          <w:szCs w:val="26"/>
        </w:rPr>
        <w:t>cannot be distinguished</w:t>
      </w:r>
      <w:proofErr w:type="gramEnd"/>
      <w:r w:rsidRPr="00A71B4F">
        <w:rPr>
          <w:rFonts w:ascii="Roboto" w:eastAsia="Times New Roman" w:hAnsi="Roboto" w:cs="Helvetica"/>
          <w:color w:val="000000"/>
          <w:sz w:val="26"/>
          <w:szCs w:val="26"/>
        </w:rPr>
        <w:t xml:space="preserve"> from those that are scored. A test-taker’s score on pretest questions does not affect a candidate's final score.</w:t>
      </w:r>
    </w:p>
    <w:p w:rsidR="00A71B4F" w:rsidRPr="00A71B4F" w:rsidRDefault="00A71B4F" w:rsidP="00A71B4F">
      <w:pPr>
        <w:shd w:val="clear" w:color="auto" w:fill="F7F7F7"/>
        <w:spacing w:before="300" w:after="150" w:line="240" w:lineRule="auto"/>
        <w:outlineLvl w:val="1"/>
        <w:rPr>
          <w:rFonts w:ascii="inherit" w:eastAsia="Times New Roman" w:hAnsi="inherit" w:cs="Helvetica"/>
          <w:b/>
          <w:bCs/>
          <w:color w:val="252122"/>
          <w:sz w:val="44"/>
          <w:szCs w:val="44"/>
        </w:rPr>
      </w:pPr>
      <w:r w:rsidRPr="00A71B4F">
        <w:rPr>
          <w:rFonts w:ascii="inherit" w:eastAsia="Times New Roman" w:hAnsi="inherit" w:cs="Helvetica"/>
          <w:b/>
          <w:bCs/>
          <w:color w:val="252122"/>
          <w:sz w:val="44"/>
          <w:szCs w:val="44"/>
        </w:rPr>
        <w:t>FNP EXAMINATION BLUEPRINT</w:t>
      </w:r>
    </w:p>
    <w:p w:rsidR="00A71B4F" w:rsidRPr="00A71B4F" w:rsidRDefault="00A71B4F" w:rsidP="00A71B4F">
      <w:pPr>
        <w:shd w:val="clear" w:color="auto" w:fill="F7F7F7"/>
        <w:spacing w:after="225"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pict>
          <v:rect id="_x0000_i1025" style="width:468pt;height:.75pt" o:hralign="center" o:hrstd="t" o:hr="t" fillcolor="#a0a0a0" stroked="f"/>
        </w:pic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974"/>
        <w:gridCol w:w="973"/>
        <w:gridCol w:w="470"/>
        <w:gridCol w:w="2952"/>
        <w:gridCol w:w="973"/>
        <w:gridCol w:w="973"/>
      </w:tblGrid>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DOMAIN I</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items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items</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DOMAIN II Patient Age Ranges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items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items</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lastRenderedPageBreak/>
              <w:t>01 - Assessment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48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36%</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Prenatal</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3%</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02 - Diagnosis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33</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24%</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Pediatric (includes Newborn &amp; Infant)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14%</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03 - Plan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31</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23%</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Adolescent (early /late)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18%</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04 - Evaluation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23</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17%</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Adult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50</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37%</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TOTAL</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135</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100.0%</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Geriatric</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21%</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Frail Elderly</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7%</w:t>
            </w:r>
          </w:p>
        </w:tc>
      </w:tr>
      <w:tr w:rsidR="00A71B4F" w:rsidRPr="00A71B4F" w:rsidTr="00A71B4F">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TOTAL</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135</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100%</w:t>
            </w:r>
          </w:p>
        </w:tc>
      </w:tr>
    </w:tbl>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 xml:space="preserve">Age Parameters </w:t>
      </w:r>
      <w:proofErr w:type="gramStart"/>
      <w:r w:rsidRPr="00A71B4F">
        <w:rPr>
          <w:rFonts w:ascii="Roboto" w:eastAsia="Times New Roman" w:hAnsi="Roboto" w:cs="Helvetica"/>
          <w:color w:val="000000"/>
          <w:sz w:val="26"/>
          <w:szCs w:val="26"/>
        </w:rPr>
        <w:t>are not defined</w:t>
      </w:r>
      <w:proofErr w:type="gramEnd"/>
      <w:r w:rsidRPr="00A71B4F">
        <w:rPr>
          <w:rFonts w:ascii="Roboto" w:eastAsia="Times New Roman" w:hAnsi="Roboto" w:cs="Helvetica"/>
          <w:color w:val="000000"/>
          <w:sz w:val="26"/>
          <w:szCs w:val="26"/>
        </w:rPr>
        <w:t xml:space="preserve"> for any population. AANPCB uses growth and development for constructing the certification exams.</w:t>
      </w:r>
    </w:p>
    <w:p w:rsidR="00A71B4F" w:rsidRPr="00A71B4F" w:rsidRDefault="00A71B4F" w:rsidP="00A71B4F">
      <w:pPr>
        <w:shd w:val="clear" w:color="auto" w:fill="F7F7F7"/>
        <w:spacing w:after="225"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pict>
          <v:rect id="_x0000_i1026" style="width:468pt;height:.75pt" o:hralign="center" o:hrstd="t" o:hr="t" fillcolor="#a0a0a0" stroked="f"/>
        </w:pic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FNP DOMAIN 01 - ASSESS</w:t>
      </w:r>
      <w:r w:rsidRPr="00A71B4F">
        <w:rPr>
          <w:rFonts w:ascii="Roboto" w:eastAsia="Times New Roman" w:hAnsi="Roboto" w:cs="Helvetica"/>
          <w:color w:val="000000"/>
          <w:sz w:val="26"/>
          <w:szCs w:val="26"/>
        </w:rPr>
        <w:br/>
        <w:t>Task 0101: Obtain subjective patient information including but not limited to relevant medical history (including biopsychosocial, economic, environmental, family, military, travel, occupational, preventive components), chief complaint, history of present illness, and review of systems to determine health needs and problems by:</w:t>
      </w:r>
    </w:p>
    <w:p w:rsidR="00A71B4F" w:rsidRPr="00A71B4F" w:rsidRDefault="00A71B4F" w:rsidP="00A71B4F">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Interviewing patient/family/appropriate others</w:t>
      </w:r>
    </w:p>
    <w:p w:rsidR="00A71B4F" w:rsidRPr="00A71B4F" w:rsidRDefault="00A71B4F" w:rsidP="00A71B4F">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Reviewing records</w:t>
      </w:r>
    </w:p>
    <w:p w:rsidR="00A71B4F" w:rsidRPr="00A71B4F" w:rsidRDefault="00A71B4F" w:rsidP="00A71B4F">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Obtaining information regarding additional healthcare providers involved in patient care</w:t>
      </w:r>
    </w:p>
    <w:p w:rsidR="00A71B4F" w:rsidRPr="00A71B4F" w:rsidRDefault="00A71B4F" w:rsidP="00A71B4F">
      <w:pPr>
        <w:numPr>
          <w:ilvl w:val="0"/>
          <w:numId w:val="2"/>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Identifying both patient- and population-specific health, medical, and psychosocial risk factors</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lastRenderedPageBreak/>
        <w:t>Task 0102: Obtain objective information based on patient age/developmental level, health history, and comorbidities to further define and evaluate health needs and problems by:</w:t>
      </w:r>
    </w:p>
    <w:p w:rsidR="00A71B4F" w:rsidRPr="00A71B4F" w:rsidRDefault="00A71B4F" w:rsidP="00A71B4F">
      <w:pPr>
        <w:numPr>
          <w:ilvl w:val="0"/>
          <w:numId w:val="3"/>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Performing physical examinations</w:t>
      </w:r>
    </w:p>
    <w:p w:rsidR="00A71B4F" w:rsidRPr="00A71B4F" w:rsidRDefault="00A71B4F" w:rsidP="00A71B4F">
      <w:pPr>
        <w:numPr>
          <w:ilvl w:val="0"/>
          <w:numId w:val="3"/>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Ordering/performing/supervising diagnostic tests and procedures</w:t>
      </w:r>
    </w:p>
    <w:p w:rsidR="00A71B4F" w:rsidRPr="00A71B4F" w:rsidRDefault="00A71B4F" w:rsidP="00A71B4F">
      <w:pPr>
        <w:numPr>
          <w:ilvl w:val="0"/>
          <w:numId w:val="3"/>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Ordering/performing/supervising screening tests</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FNP DOMAIN 02 - DIAGNOSE</w:t>
      </w:r>
      <w:r w:rsidRPr="00A71B4F">
        <w:rPr>
          <w:rFonts w:ascii="Roboto" w:eastAsia="Times New Roman" w:hAnsi="Roboto" w:cs="Helvetica"/>
          <w:color w:val="000000"/>
          <w:sz w:val="26"/>
          <w:szCs w:val="26"/>
        </w:rPr>
        <w:br/>
        <w:t>Task 0201: Formulate differential diagnoses by:</w:t>
      </w:r>
    </w:p>
    <w:p w:rsidR="00A71B4F" w:rsidRPr="00A71B4F" w:rsidRDefault="00A71B4F" w:rsidP="00A71B4F">
      <w:pPr>
        <w:numPr>
          <w:ilvl w:val="0"/>
          <w:numId w:val="4"/>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Synthesizing and analyzing subjective/objective information</w:t>
      </w:r>
    </w:p>
    <w:p w:rsidR="00A71B4F" w:rsidRPr="00A71B4F" w:rsidRDefault="00A71B4F" w:rsidP="00A71B4F">
      <w:pPr>
        <w:numPr>
          <w:ilvl w:val="0"/>
          <w:numId w:val="4"/>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Prioritizing potential diagnoses</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Task 0202: Establish definitive diagnoses by:</w:t>
      </w:r>
    </w:p>
    <w:p w:rsidR="00A71B4F" w:rsidRPr="00A71B4F" w:rsidRDefault="00A71B4F" w:rsidP="00A71B4F">
      <w:pPr>
        <w:numPr>
          <w:ilvl w:val="0"/>
          <w:numId w:val="5"/>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Ordering, performing, supervising, and interpreting additional diagnostic test</w:t>
      </w:r>
    </w:p>
    <w:p w:rsidR="00A71B4F" w:rsidRPr="00A71B4F" w:rsidRDefault="00A71B4F" w:rsidP="00A71B4F">
      <w:pPr>
        <w:numPr>
          <w:ilvl w:val="0"/>
          <w:numId w:val="5"/>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Performing and interpreting additional physical examinations</w:t>
      </w:r>
    </w:p>
    <w:p w:rsidR="00A71B4F" w:rsidRPr="00A71B4F" w:rsidRDefault="00A71B4F" w:rsidP="00A71B4F">
      <w:pPr>
        <w:numPr>
          <w:ilvl w:val="0"/>
          <w:numId w:val="5"/>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Synthesizing and analyzing additional information</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FNP DOMAIN 03 - PLAN</w:t>
      </w:r>
      <w:r w:rsidRPr="00A71B4F">
        <w:rPr>
          <w:rFonts w:ascii="Roboto" w:eastAsia="Times New Roman" w:hAnsi="Roboto" w:cs="Helvetica"/>
          <w:color w:val="000000"/>
          <w:sz w:val="26"/>
          <w:szCs w:val="26"/>
        </w:rPr>
        <w:br/>
        <w:t xml:space="preserve">Task 0301: Establish a safe plan of patient-centered treatment and care that is individualized, cost effective, consistent with best evidence, age appropriate, and </w:t>
      </w:r>
      <w:proofErr w:type="gramStart"/>
      <w:r w:rsidRPr="00A71B4F">
        <w:rPr>
          <w:rFonts w:ascii="Roboto" w:eastAsia="Times New Roman" w:hAnsi="Roboto" w:cs="Helvetica"/>
          <w:color w:val="000000"/>
          <w:sz w:val="26"/>
          <w:szCs w:val="26"/>
        </w:rPr>
        <w:t>culturally-sensitive</w:t>
      </w:r>
      <w:proofErr w:type="gramEnd"/>
      <w:r w:rsidRPr="00A71B4F">
        <w:rPr>
          <w:rFonts w:ascii="Roboto" w:eastAsia="Times New Roman" w:hAnsi="Roboto" w:cs="Helvetica"/>
          <w:color w:val="000000"/>
          <w:sz w:val="26"/>
          <w:szCs w:val="26"/>
        </w:rPr>
        <w:t xml:space="preserve"> in order to address the diagnoses by:</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Considering co-morbidities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Ordering, performing, supervising, and interpreting results of further tests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Prescribing, ordering, and administering pharmacological therapies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Prescribing, ordering, and administering non-pharmacologic therapies and/or procedures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Providing relevant education and/or counseling</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Providing anticipatory guidance, health promotion, and injury prevention</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lastRenderedPageBreak/>
        <w:t>Making referrals to and engaging in consultation with other health professionals and community resources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Including patient/family/appropriate others as active participants</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Providing for appropriate follow-up</w:t>
      </w:r>
    </w:p>
    <w:p w:rsidR="00A71B4F" w:rsidRPr="00A71B4F" w:rsidRDefault="00A71B4F" w:rsidP="00A71B4F">
      <w:pPr>
        <w:numPr>
          <w:ilvl w:val="0"/>
          <w:numId w:val="6"/>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Responding to patients in urgent and emergent situations</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FNP DOMAIN 04 - EVALUATE</w:t>
      </w:r>
      <w:r w:rsidRPr="00A71B4F">
        <w:rPr>
          <w:rFonts w:ascii="Roboto" w:eastAsia="Times New Roman" w:hAnsi="Roboto" w:cs="Helvetica"/>
          <w:color w:val="000000"/>
          <w:sz w:val="26"/>
          <w:szCs w:val="26"/>
        </w:rPr>
        <w:br/>
        <w:t>Task 0401: Determine the effectiveness of the plan of treatment and care based on outcomes by:</w:t>
      </w:r>
    </w:p>
    <w:p w:rsidR="00A71B4F" w:rsidRPr="00A71B4F" w:rsidRDefault="00A71B4F" w:rsidP="00A71B4F">
      <w:pPr>
        <w:numPr>
          <w:ilvl w:val="0"/>
          <w:numId w:val="7"/>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Assessing patient response(s)</w:t>
      </w:r>
    </w:p>
    <w:p w:rsidR="00A71B4F" w:rsidRPr="00A71B4F" w:rsidRDefault="00A71B4F" w:rsidP="00A71B4F">
      <w:pPr>
        <w:numPr>
          <w:ilvl w:val="0"/>
          <w:numId w:val="7"/>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Collecting additional subjective and/or objective information as needed</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proofErr w:type="gramStart"/>
      <w:r w:rsidRPr="00A71B4F">
        <w:rPr>
          <w:rFonts w:ascii="Roboto" w:eastAsia="Times New Roman" w:hAnsi="Roboto" w:cs="Helvetica"/>
          <w:color w:val="000000"/>
          <w:sz w:val="26"/>
          <w:szCs w:val="26"/>
        </w:rPr>
        <w:t>Task 0402: Modify the plan of treatment and care as appropriate based on outcomes by:</w:t>
      </w:r>
      <w:proofErr w:type="gramEnd"/>
      <w:r w:rsidRPr="00A71B4F">
        <w:rPr>
          <w:rFonts w:ascii="Roboto" w:eastAsia="Times New Roman" w:hAnsi="Roboto" w:cs="Helvetica"/>
          <w:color w:val="000000"/>
          <w:sz w:val="26"/>
          <w:szCs w:val="26"/>
        </w:rPr>
        <w:t xml:space="preserve"> </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Ordering, conducting, supervising and interpreting further tests</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Adjusting therapies</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Providing additional education</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Initiating referrals and consultations</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Coordinating follow-up and monitoring plan of care</w:t>
      </w:r>
    </w:p>
    <w:p w:rsidR="00A71B4F" w:rsidRPr="00A71B4F" w:rsidRDefault="00A71B4F" w:rsidP="00A71B4F">
      <w:pPr>
        <w:numPr>
          <w:ilvl w:val="0"/>
          <w:numId w:val="8"/>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Including patient, family, and/or appropriate others as active participants</w:t>
      </w:r>
    </w:p>
    <w:p w:rsidR="00A71B4F" w:rsidRPr="00A71B4F" w:rsidRDefault="00A71B4F" w:rsidP="00A71B4F">
      <w:pPr>
        <w:shd w:val="clear" w:color="auto" w:fill="F7F7F7"/>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FNP KNOWLEDGE AREAS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Health promotion, harm reduction, and disease prevention</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Anatomy, physiology, and pathophysiology</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Therapeutic communication, change management, and crisis management</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Health history</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Sign and symptoms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Physical examination</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Diagnostic and therapeutic tests and/or procedures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Clinical decision-making</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lastRenderedPageBreak/>
        <w:t>Differential diagnosis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Pharmacological therapies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Non-pharmacological/ complementary/ alternative therapies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Biopsychosocial principles/theories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Patient and family education and counseling</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Community resources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Healthcare economics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Evidence-informed practice</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Legal and ethical issues</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Cultural competence</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Principles of epidemiology, population health, and social determinants of health</w:t>
      </w:r>
    </w:p>
    <w:p w:rsidR="00A71B4F" w:rsidRPr="00A71B4F" w:rsidRDefault="00A71B4F" w:rsidP="00A71B4F">
      <w:pPr>
        <w:numPr>
          <w:ilvl w:val="0"/>
          <w:numId w:val="9"/>
        </w:numPr>
        <w:shd w:val="clear" w:color="auto" w:fill="F7F7F7"/>
        <w:spacing w:before="100" w:beforeAutospacing="1" w:after="100" w:afterAutospacing="1" w:line="420" w:lineRule="atLeast"/>
        <w:ind w:left="450"/>
        <w:rPr>
          <w:rFonts w:ascii="Roboto" w:eastAsia="Times New Roman" w:hAnsi="Roboto" w:cs="Helvetica"/>
          <w:color w:val="000000"/>
          <w:sz w:val="26"/>
          <w:szCs w:val="26"/>
        </w:rPr>
      </w:pPr>
      <w:r w:rsidRPr="00A71B4F">
        <w:rPr>
          <w:rFonts w:ascii="Roboto" w:eastAsia="Times New Roman" w:hAnsi="Roboto" w:cs="Helvetica"/>
          <w:color w:val="000000"/>
          <w:sz w:val="26"/>
          <w:szCs w:val="26"/>
        </w:rPr>
        <w:t>Practice management</w:t>
      </w:r>
    </w:p>
    <w:p w:rsidR="00A71B4F" w:rsidRPr="00A71B4F" w:rsidRDefault="00A71B4F" w:rsidP="00A71B4F">
      <w:pPr>
        <w:shd w:val="clear" w:color="auto" w:fill="F7F7F7"/>
        <w:spacing w:before="300" w:after="150" w:line="240" w:lineRule="auto"/>
        <w:outlineLvl w:val="1"/>
        <w:rPr>
          <w:rFonts w:ascii="inherit" w:eastAsia="Times New Roman" w:hAnsi="inherit" w:cs="Helvetica"/>
          <w:b/>
          <w:bCs/>
          <w:color w:val="252122"/>
          <w:sz w:val="44"/>
          <w:szCs w:val="44"/>
        </w:rPr>
      </w:pPr>
      <w:r w:rsidRPr="00A71B4F">
        <w:rPr>
          <w:rFonts w:ascii="inherit" w:eastAsia="Times New Roman" w:hAnsi="inherit" w:cs="Helvetica"/>
          <w:b/>
          <w:bCs/>
          <w:color w:val="252122"/>
          <w:sz w:val="44"/>
          <w:szCs w:val="44"/>
        </w:rPr>
        <w:t>FNP PROCEDURES</w:t>
      </w:r>
    </w:p>
    <w:p w:rsidR="00A71B4F" w:rsidRPr="00A71B4F" w:rsidRDefault="00A71B4F" w:rsidP="00A71B4F">
      <w:pPr>
        <w:shd w:val="clear" w:color="auto" w:fill="F7F7F7"/>
        <w:spacing w:after="225"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pict>
          <v:rect id="_x0000_i1027" style="width:468pt;height:.75pt" o:hralign="center" o:hrstd="t" o:hr="t" fillcolor="#a0a0a0" stroked="f"/>
        </w:pict>
      </w:r>
    </w:p>
    <w:tbl>
      <w:tblPr>
        <w:tblpPr w:leftFromText="45" w:rightFromText="45" w:bottomFromText="240" w:vertAnchor="text"/>
        <w:tblW w:w="5000" w:type="pct"/>
        <w:tblCellSpacing w:w="0" w:type="dxa"/>
        <w:tblCellMar>
          <w:left w:w="0" w:type="dxa"/>
          <w:right w:w="0" w:type="dxa"/>
        </w:tblCellMar>
        <w:tblLook w:val="04A0" w:firstRow="1" w:lastRow="0" w:firstColumn="1" w:lastColumn="0" w:noHBand="0" w:noVBand="1"/>
      </w:tblPr>
      <w:tblGrid>
        <w:gridCol w:w="4473"/>
        <w:gridCol w:w="4887"/>
      </w:tblGrid>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Minor lesion removal</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Incision and drainage</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Microscopy</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Diagnostic interpretation of ECG</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Pap tests</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Diagnostic interpretation of X-ray</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Joint aspirations and injections</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Cerumen removal</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Skin biopsy</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Pulmonary function testing &amp; office spirometry</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Therapeutic injections</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Fluorescein dye</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Wound closure</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Long-term contraceptive management</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Splinting</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Long-term hormonal implantation</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lastRenderedPageBreak/>
              <w:t>Casting</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Foreign body removal</w:t>
            </w:r>
          </w:p>
        </w:tc>
      </w:tr>
      <w:tr w:rsidR="00A71B4F" w:rsidRPr="00A71B4F" w:rsidTr="00A71B4F">
        <w:trPr>
          <w:tblCellSpacing w:w="0" w:type="dxa"/>
        </w:trPr>
        <w:tc>
          <w:tcPr>
            <w:tcW w:w="388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Wound management</w:t>
            </w:r>
          </w:p>
        </w:tc>
        <w:tc>
          <w:tcPr>
            <w:tcW w:w="4245" w:type="dxa"/>
            <w:shd w:val="clear" w:color="auto" w:fill="auto"/>
            <w:vAlign w:val="center"/>
            <w:hideMark/>
          </w:tcPr>
          <w:p w:rsidR="00A71B4F" w:rsidRPr="00A71B4F" w:rsidRDefault="00A71B4F" w:rsidP="00A71B4F">
            <w:pPr>
              <w:spacing w:after="240" w:line="420" w:lineRule="atLeast"/>
              <w:rPr>
                <w:rFonts w:ascii="Roboto" w:eastAsia="Times New Roman" w:hAnsi="Roboto" w:cs="Helvetica"/>
                <w:color w:val="000000"/>
                <w:sz w:val="26"/>
                <w:szCs w:val="26"/>
              </w:rPr>
            </w:pPr>
            <w:r w:rsidRPr="00A71B4F">
              <w:rPr>
                <w:rFonts w:ascii="Roboto" w:eastAsia="Times New Roman" w:hAnsi="Roboto" w:cs="Helvetica"/>
                <w:color w:val="000000"/>
                <w:sz w:val="26"/>
                <w:szCs w:val="26"/>
              </w:rPr>
              <w:t>Nail removal</w:t>
            </w:r>
          </w:p>
        </w:tc>
      </w:tr>
    </w:tbl>
    <w:p w:rsidR="00EC6A60" w:rsidRDefault="00A71B4F"/>
    <w:sectPr w:rsidR="00EC6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12B"/>
    <w:multiLevelType w:val="multilevel"/>
    <w:tmpl w:val="48E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30E1E"/>
    <w:multiLevelType w:val="multilevel"/>
    <w:tmpl w:val="7AA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31ECA"/>
    <w:multiLevelType w:val="multilevel"/>
    <w:tmpl w:val="A21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D21BB"/>
    <w:multiLevelType w:val="multilevel"/>
    <w:tmpl w:val="8DE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BD51C0"/>
    <w:multiLevelType w:val="multilevel"/>
    <w:tmpl w:val="141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F3C86"/>
    <w:multiLevelType w:val="multilevel"/>
    <w:tmpl w:val="631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A26EF"/>
    <w:multiLevelType w:val="multilevel"/>
    <w:tmpl w:val="9BD0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0120F"/>
    <w:multiLevelType w:val="multilevel"/>
    <w:tmpl w:val="FC2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012943"/>
    <w:multiLevelType w:val="multilevel"/>
    <w:tmpl w:val="771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F"/>
    <w:rsid w:val="0007785D"/>
    <w:rsid w:val="00A71B4F"/>
    <w:rsid w:val="00C3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E267"/>
  <w15:chartTrackingRefBased/>
  <w15:docId w15:val="{01BD5769-D09B-4D1E-BDFB-292F0B7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19350">
      <w:bodyDiv w:val="1"/>
      <w:marLeft w:val="0"/>
      <w:marRight w:val="0"/>
      <w:marTop w:val="0"/>
      <w:marBottom w:val="0"/>
      <w:divBdr>
        <w:top w:val="none" w:sz="0" w:space="0" w:color="auto"/>
        <w:left w:val="none" w:sz="0" w:space="0" w:color="auto"/>
        <w:bottom w:val="none" w:sz="0" w:space="0" w:color="auto"/>
        <w:right w:val="none" w:sz="0" w:space="0" w:color="auto"/>
      </w:divBdr>
      <w:divsChild>
        <w:div w:id="485051750">
          <w:marLeft w:val="0"/>
          <w:marRight w:val="0"/>
          <w:marTop w:val="0"/>
          <w:marBottom w:val="0"/>
          <w:divBdr>
            <w:top w:val="none" w:sz="0" w:space="0" w:color="auto"/>
            <w:left w:val="none" w:sz="0" w:space="0" w:color="auto"/>
            <w:bottom w:val="none" w:sz="0" w:space="0" w:color="auto"/>
            <w:right w:val="none" w:sz="0" w:space="0" w:color="auto"/>
          </w:divBdr>
          <w:divsChild>
            <w:div w:id="72091976">
              <w:marLeft w:val="0"/>
              <w:marRight w:val="0"/>
              <w:marTop w:val="0"/>
              <w:marBottom w:val="0"/>
              <w:divBdr>
                <w:top w:val="none" w:sz="0" w:space="0" w:color="auto"/>
                <w:left w:val="none" w:sz="0" w:space="0" w:color="auto"/>
                <w:bottom w:val="single" w:sz="6" w:space="0" w:color="CCCCCC"/>
                <w:right w:val="none" w:sz="0" w:space="0" w:color="auto"/>
              </w:divBdr>
              <w:divsChild>
                <w:div w:id="8606209">
                  <w:marLeft w:val="0"/>
                  <w:marRight w:val="0"/>
                  <w:marTop w:val="0"/>
                  <w:marBottom w:val="0"/>
                  <w:divBdr>
                    <w:top w:val="none" w:sz="0" w:space="0" w:color="auto"/>
                    <w:left w:val="none" w:sz="0" w:space="0" w:color="auto"/>
                    <w:bottom w:val="none" w:sz="0" w:space="0" w:color="auto"/>
                    <w:right w:val="none" w:sz="0" w:space="0" w:color="auto"/>
                  </w:divBdr>
                  <w:divsChild>
                    <w:div w:id="2068986674">
                      <w:marLeft w:val="0"/>
                      <w:marRight w:val="0"/>
                      <w:marTop w:val="0"/>
                      <w:marBottom w:val="0"/>
                      <w:divBdr>
                        <w:top w:val="none" w:sz="0" w:space="0" w:color="auto"/>
                        <w:left w:val="none" w:sz="0" w:space="0" w:color="auto"/>
                        <w:bottom w:val="none" w:sz="0" w:space="0" w:color="auto"/>
                        <w:right w:val="none" w:sz="0" w:space="0" w:color="auto"/>
                      </w:divBdr>
                      <w:divsChild>
                        <w:div w:id="1575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anpcert.org/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Buhalis</dc:creator>
  <cp:keywords/>
  <dc:description/>
  <cp:lastModifiedBy>Melanie Buhalis</cp:lastModifiedBy>
  <cp:revision>1</cp:revision>
  <dcterms:created xsi:type="dcterms:W3CDTF">2017-03-27T14:16:00Z</dcterms:created>
  <dcterms:modified xsi:type="dcterms:W3CDTF">2017-03-27T14:19:00Z</dcterms:modified>
</cp:coreProperties>
</file>