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24" w:rsidRDefault="00DA3B24" w:rsidP="00DA3B24">
      <w:pPr>
        <w:spacing w:after="150" w:line="420" w:lineRule="atLeast"/>
        <w:outlineLvl w:val="0"/>
        <w:rPr>
          <w:rFonts w:ascii="Arial" w:eastAsia="Times New Roman" w:hAnsi="Arial" w:cs="Arial"/>
          <w:b/>
          <w:bCs/>
          <w:color w:val="336699"/>
          <w:spacing w:val="-15"/>
          <w:kern w:val="36"/>
          <w:sz w:val="35"/>
          <w:szCs w:val="35"/>
          <w:lang w:val="en"/>
        </w:rPr>
      </w:pPr>
      <w:bookmarkStart w:id="0" w:name="_GoBack"/>
      <w:r>
        <w:rPr>
          <w:rFonts w:ascii="Arial" w:hAnsi="Arial" w:cs="Arial"/>
          <w:noProof/>
          <w:color w:val="336699"/>
          <w:sz w:val="18"/>
          <w:szCs w:val="18"/>
          <w:bdr w:val="none" w:sz="0" w:space="0" w:color="auto" w:frame="1"/>
        </w:rPr>
        <w:drawing>
          <wp:inline distT="0" distB="0" distL="0" distR="0" wp14:anchorId="0CD9D574" wp14:editId="79CF5DB5">
            <wp:extent cx="2781300" cy="523875"/>
            <wp:effectExtent l="0" t="0" r="0" b="9525"/>
            <wp:docPr id="1" name="Picture 1" descr="http://www.nursecredentialing.org/ImagesLibrary/Logos/Site-Logo-Ribbon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rsecredentialing.org/ImagesLibrary/Logos/Site-Logo-Ribbon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3B24" w:rsidRPr="00DA3B24" w:rsidRDefault="00DA3B24" w:rsidP="00DA3B24">
      <w:pPr>
        <w:spacing w:after="150" w:line="420" w:lineRule="atLeast"/>
        <w:outlineLvl w:val="0"/>
        <w:rPr>
          <w:rFonts w:ascii="Arial" w:eastAsia="Times New Roman" w:hAnsi="Arial" w:cs="Arial"/>
          <w:b/>
          <w:bCs/>
          <w:color w:val="336699"/>
          <w:spacing w:val="-15"/>
          <w:kern w:val="36"/>
          <w:sz w:val="35"/>
          <w:szCs w:val="35"/>
          <w:lang w:val="en"/>
        </w:rPr>
      </w:pPr>
      <w:r w:rsidRPr="00DA3B24">
        <w:rPr>
          <w:rFonts w:ascii="Arial" w:eastAsia="Times New Roman" w:hAnsi="Arial" w:cs="Arial"/>
          <w:b/>
          <w:bCs/>
          <w:color w:val="336699"/>
          <w:spacing w:val="-15"/>
          <w:kern w:val="36"/>
          <w:sz w:val="35"/>
          <w:szCs w:val="35"/>
          <w:lang w:val="en"/>
        </w:rPr>
        <w:t>Family Nurse Practitioner Certification Eligibility Criteria</w:t>
      </w:r>
    </w:p>
    <w:p w:rsidR="00DA3B24" w:rsidRPr="00DA3B24" w:rsidRDefault="00DA3B24" w:rsidP="00DA3B24">
      <w:pPr>
        <w:spacing w:after="225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</w:pPr>
      <w:r w:rsidRPr="00DA3B2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Credential Awarded: FNP-BC</w:t>
      </w:r>
    </w:p>
    <w:p w:rsidR="00DA3B24" w:rsidRPr="00DA3B24" w:rsidRDefault="00DA3B24" w:rsidP="00DA3B24">
      <w:pPr>
        <w:spacing w:after="225" w:line="240" w:lineRule="atLeast"/>
        <w:rPr>
          <w:rFonts w:ascii="Arial" w:eastAsia="Times New Roman" w:hAnsi="Arial" w:cs="Arial"/>
          <w:b/>
          <w:bCs/>
          <w:color w:val="336699"/>
          <w:sz w:val="23"/>
          <w:szCs w:val="23"/>
          <w:lang w:val="en"/>
        </w:rPr>
      </w:pPr>
      <w:r w:rsidRPr="00DA3B24">
        <w:rPr>
          <w:rFonts w:ascii="Arial" w:eastAsia="Times New Roman" w:hAnsi="Arial" w:cs="Arial"/>
          <w:b/>
          <w:bCs/>
          <w:color w:val="336699"/>
          <w:sz w:val="23"/>
          <w:szCs w:val="23"/>
          <w:lang w:val="en"/>
        </w:rPr>
        <w:t>Eligibility Criteria</w:t>
      </w:r>
    </w:p>
    <w:p w:rsidR="00DA3B24" w:rsidRPr="00DA3B24" w:rsidRDefault="00DA3B24" w:rsidP="00DA3B24">
      <w:pPr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val="en"/>
        </w:rPr>
      </w:pPr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 xml:space="preserve">Hold a current, active RN license in a state or territory of the United States or hold the professional, legally recognized equivalent in another country. </w:t>
      </w:r>
      <w:hyperlink r:id="rId7" w:tgtFrame="_blank" w:history="1">
        <w:r w:rsidRPr="00DA3B24">
          <w:rPr>
            <w:rFonts w:ascii="Arial" w:eastAsia="Times New Roman" w:hAnsi="Arial" w:cs="Arial"/>
            <w:color w:val="336699"/>
            <w:sz w:val="18"/>
            <w:szCs w:val="18"/>
            <w:bdr w:val="none" w:sz="0" w:space="0" w:color="auto" w:frame="1"/>
            <w:lang w:val="en"/>
          </w:rPr>
          <w:t>International Applicants: Learn about additional requirements for candidates outside the US</w:t>
        </w:r>
      </w:hyperlink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>.</w:t>
      </w:r>
    </w:p>
    <w:p w:rsidR="00DA3B24" w:rsidRPr="00DA3B24" w:rsidRDefault="00DA3B24" w:rsidP="00DA3B24">
      <w:pPr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val="en"/>
        </w:rPr>
      </w:pPr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>Hold a master's, postgraduate, or doctoral degree* from a family nurse practitioner program accredited by the Commission on Collegiate Nursing Education (CCNE) or the Accreditation Commission for Education in Nursing (ACEN) (formerly NLNAC | National League for Nursing Accrediting Commission). A minimum of 500 faculty-supervised clinical hours must be included in your family nurse practitioner program.</w:t>
      </w:r>
    </w:p>
    <w:p w:rsidR="00DA3B24" w:rsidRPr="00DA3B24" w:rsidRDefault="00DA3B24" w:rsidP="00DA3B24">
      <w:pPr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val="en"/>
        </w:rPr>
      </w:pPr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 xml:space="preserve">Three separate, comprehensive graduate-level courses in: </w:t>
      </w:r>
    </w:p>
    <w:p w:rsidR="00DA3B24" w:rsidRPr="00DA3B24" w:rsidRDefault="00DA3B24" w:rsidP="00DA3B24">
      <w:pPr>
        <w:numPr>
          <w:ilvl w:val="0"/>
          <w:numId w:val="1"/>
        </w:numPr>
        <w:spacing w:before="75" w:after="75" w:line="240" w:lineRule="auto"/>
        <w:ind w:left="0" w:right="-150"/>
        <w:rPr>
          <w:rFonts w:ascii="Arial" w:eastAsia="Times New Roman" w:hAnsi="Arial" w:cs="Arial"/>
          <w:color w:val="555555"/>
          <w:sz w:val="18"/>
          <w:szCs w:val="18"/>
          <w:lang w:val="en"/>
        </w:rPr>
      </w:pPr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>Advanced physiology/pathophysiology, including general principles that apply across the life span</w:t>
      </w:r>
    </w:p>
    <w:p w:rsidR="00DA3B24" w:rsidRPr="00DA3B24" w:rsidRDefault="00DA3B24" w:rsidP="00DA3B24">
      <w:pPr>
        <w:numPr>
          <w:ilvl w:val="0"/>
          <w:numId w:val="1"/>
        </w:numPr>
        <w:spacing w:before="75" w:after="75" w:line="240" w:lineRule="auto"/>
        <w:ind w:left="0" w:right="-150"/>
        <w:rPr>
          <w:rFonts w:ascii="Arial" w:eastAsia="Times New Roman" w:hAnsi="Arial" w:cs="Arial"/>
          <w:color w:val="555555"/>
          <w:sz w:val="18"/>
          <w:szCs w:val="18"/>
          <w:lang w:val="en"/>
        </w:rPr>
      </w:pPr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>Advanced health assessment, which includes assessment of all human systems, advanced assessment techniques, concepts, and approaches</w:t>
      </w:r>
    </w:p>
    <w:p w:rsidR="00DA3B24" w:rsidRPr="00DA3B24" w:rsidRDefault="00DA3B24" w:rsidP="00DA3B24">
      <w:pPr>
        <w:numPr>
          <w:ilvl w:val="0"/>
          <w:numId w:val="1"/>
        </w:numPr>
        <w:spacing w:before="75" w:after="75" w:line="240" w:lineRule="auto"/>
        <w:ind w:left="0" w:right="-150"/>
        <w:rPr>
          <w:rFonts w:ascii="Arial" w:eastAsia="Times New Roman" w:hAnsi="Arial" w:cs="Arial"/>
          <w:color w:val="555555"/>
          <w:sz w:val="18"/>
          <w:szCs w:val="18"/>
          <w:lang w:val="en"/>
        </w:rPr>
      </w:pPr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 xml:space="preserve">Advanced pharmacology, which includes pharmacodynamics, pharmacokinetics, and </w:t>
      </w:r>
      <w:proofErr w:type="spellStart"/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>pharmacotherapeutics</w:t>
      </w:r>
      <w:proofErr w:type="spellEnd"/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 xml:space="preserve"> of all broad categories of agents</w:t>
      </w:r>
    </w:p>
    <w:p w:rsidR="00DA3B24" w:rsidRPr="00DA3B24" w:rsidRDefault="00DA3B24" w:rsidP="00DA3B24">
      <w:pPr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val="en"/>
        </w:rPr>
      </w:pPr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 xml:space="preserve">Content in: </w:t>
      </w:r>
    </w:p>
    <w:p w:rsidR="00DA3B24" w:rsidRPr="00DA3B24" w:rsidRDefault="00DA3B24" w:rsidP="00DA3B24">
      <w:pPr>
        <w:numPr>
          <w:ilvl w:val="0"/>
          <w:numId w:val="2"/>
        </w:numPr>
        <w:spacing w:before="75" w:after="75" w:line="240" w:lineRule="auto"/>
        <w:ind w:left="0" w:right="-150"/>
        <w:rPr>
          <w:rFonts w:ascii="Arial" w:eastAsia="Times New Roman" w:hAnsi="Arial" w:cs="Arial"/>
          <w:color w:val="555555"/>
          <w:sz w:val="18"/>
          <w:szCs w:val="18"/>
          <w:lang w:val="en"/>
        </w:rPr>
      </w:pPr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>Health promotion and/or maintenance</w:t>
      </w:r>
    </w:p>
    <w:p w:rsidR="00DA3B24" w:rsidRPr="00DA3B24" w:rsidRDefault="00DA3B24" w:rsidP="00DA3B24">
      <w:pPr>
        <w:numPr>
          <w:ilvl w:val="0"/>
          <w:numId w:val="2"/>
        </w:numPr>
        <w:spacing w:before="75" w:after="75" w:line="240" w:lineRule="auto"/>
        <w:ind w:left="0" w:right="-150"/>
        <w:rPr>
          <w:rFonts w:ascii="Arial" w:eastAsia="Times New Roman" w:hAnsi="Arial" w:cs="Arial"/>
          <w:color w:val="555555"/>
          <w:sz w:val="18"/>
          <w:szCs w:val="18"/>
          <w:lang w:val="en"/>
        </w:rPr>
      </w:pPr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 xml:space="preserve">Differential diagnosis and disease management, including the use and prescription of pharmacologic and </w:t>
      </w:r>
      <w:proofErr w:type="spellStart"/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>nonpharmacologic</w:t>
      </w:r>
      <w:proofErr w:type="spellEnd"/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 xml:space="preserve"> interventions</w:t>
      </w:r>
    </w:p>
    <w:p w:rsidR="00DA3B24" w:rsidRPr="00DA3B24" w:rsidRDefault="00DA3B24" w:rsidP="00DA3B24">
      <w:pPr>
        <w:spacing w:line="240" w:lineRule="atLeast"/>
        <w:rPr>
          <w:rFonts w:ascii="Arial" w:eastAsia="Times New Roman" w:hAnsi="Arial" w:cs="Arial"/>
          <w:color w:val="555555"/>
          <w:sz w:val="18"/>
          <w:szCs w:val="18"/>
          <w:lang w:val="en"/>
        </w:rPr>
      </w:pPr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 xml:space="preserve">*Candidates may be authorized to sit for the examination after all coursework for the degree is complete, prior to degree conferral, </w:t>
      </w:r>
      <w:proofErr w:type="gramStart"/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>provided that</w:t>
      </w:r>
      <w:proofErr w:type="gramEnd"/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 xml:space="preserve"> all other eligibility requirements are met. Please note, Validation of Education form and transcript showing that coursework is completed are required before authorization to test </w:t>
      </w:r>
      <w:proofErr w:type="gramStart"/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>will be issued</w:t>
      </w:r>
      <w:proofErr w:type="gramEnd"/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 xml:space="preserve">. ANCC will retain the candidate's exam result and will issue certification on the date the requested documents </w:t>
      </w:r>
      <w:proofErr w:type="gramStart"/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>are received</w:t>
      </w:r>
      <w:proofErr w:type="gramEnd"/>
      <w:r w:rsidRPr="00DA3B24">
        <w:rPr>
          <w:rFonts w:ascii="Arial" w:eastAsia="Times New Roman" w:hAnsi="Arial" w:cs="Arial"/>
          <w:color w:val="555555"/>
          <w:sz w:val="18"/>
          <w:szCs w:val="18"/>
          <w:lang w:val="en"/>
        </w:rPr>
        <w:t>, all eligibility requirements are met, and a passing result is on file.</w:t>
      </w:r>
    </w:p>
    <w:p w:rsidR="00EC6A60" w:rsidRDefault="00DA3B24"/>
    <w:sectPr w:rsidR="00EC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58D3"/>
    <w:multiLevelType w:val="multilevel"/>
    <w:tmpl w:val="9C0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374E4"/>
    <w:multiLevelType w:val="multilevel"/>
    <w:tmpl w:val="255C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24"/>
    <w:rsid w:val="0007785D"/>
    <w:rsid w:val="00C373B0"/>
    <w:rsid w:val="00D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8350"/>
  <w15:chartTrackingRefBased/>
  <w15:docId w15:val="{4C9FB9F7-69F4-4501-9103-E8F770AE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8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722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rsecredentialing.org/InternationalTestS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nursecredentialing.org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Buhalis</dc:creator>
  <cp:keywords/>
  <dc:description/>
  <cp:lastModifiedBy>Melanie Buhalis</cp:lastModifiedBy>
  <cp:revision>1</cp:revision>
  <dcterms:created xsi:type="dcterms:W3CDTF">2017-03-27T14:12:00Z</dcterms:created>
  <dcterms:modified xsi:type="dcterms:W3CDTF">2017-03-27T14:14:00Z</dcterms:modified>
</cp:coreProperties>
</file>